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08" w:right="-108" w:hanging="0"/>
        <w:jc w:val="center"/>
        <w:rPr>
          <w:rFonts w:cs="Arial"/>
          <w:b/>
          <w:b/>
          <w:sz w:val="48"/>
          <w:szCs w:val="48"/>
          <w:u w:val="single"/>
        </w:rPr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ge">
              <wp:posOffset>507365</wp:posOffset>
            </wp:positionV>
            <wp:extent cx="1602105" cy="1202690"/>
            <wp:effectExtent l="0" t="0" r="0" b="0"/>
            <wp:wrapNone/>
            <wp:docPr id="1" name="Рисунок 1" descr="C:\Users\Владелец\Desktop\Мои док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Владелец\Desktop\Мои документы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48"/>
          <w:szCs w:val="48"/>
        </w:rPr>
        <w:t xml:space="preserve"> </w:t>
      </w:r>
      <w:r>
        <w:rPr>
          <w:rFonts w:cs="Arial"/>
          <w:sz w:val="48"/>
          <w:szCs w:val="48"/>
        </w:rPr>
        <w:t xml:space="preserve">                        </w:t>
      </w:r>
      <w:bookmarkStart w:id="0" w:name="__DdeLink__3060_1172307198"/>
      <w:r>
        <w:rPr>
          <w:rFonts w:cs="Arial"/>
          <w:b/>
          <w:sz w:val="48"/>
          <w:szCs w:val="48"/>
          <w:u w:val="single"/>
        </w:rPr>
        <w:t>Лист информирования</w:t>
      </w:r>
      <w:bookmarkEnd w:id="0"/>
    </w:p>
    <w:p>
      <w:pPr>
        <w:pStyle w:val="Normal"/>
        <w:ind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right="98" w:hanging="0"/>
        <w:jc w:val="right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</w:r>
    </w:p>
    <w:p>
      <w:pPr>
        <w:pStyle w:val="Normal"/>
        <w:ind w:right="98" w:hanging="0"/>
        <w:jc w:val="right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ind w:right="98" w:hanging="0"/>
        <w:jc w:val="right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ind w:right="98" w:hanging="0"/>
        <w:jc w:val="right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ind w:right="98" w:hanging="0"/>
        <w:jc w:val="right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tbl>
      <w:tblPr>
        <w:tblW w:w="10348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64"/>
        <w:gridCol w:w="330"/>
        <w:gridCol w:w="2095"/>
        <w:gridCol w:w="288"/>
        <w:gridCol w:w="5271"/>
      </w:tblGrid>
      <w:tr>
        <w:trPr>
          <w:trHeight w:val="1128" w:hRule="atLeast"/>
        </w:trPr>
        <w:tc>
          <w:tcPr>
            <w:tcW w:w="2364" w:type="dxa"/>
            <w:vMerge w:val="restart"/>
            <w:tcBorders/>
            <w:shd w:fill="auto" w:val="clear"/>
          </w:tcPr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ind w:left="-108" w:right="-74" w:hanging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  <w:p>
            <w:pPr>
              <w:pStyle w:val="Normal"/>
              <w:ind w:left="-108" w:right="-74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Государственное казенное учреждение Ростовской области "Уполномоченный многофункциональный центр предоставления государственных и муниципальных услуг"</w:t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Услуга: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предоставляющий услугу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8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71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Выдача сертификата на материнский (семейный) капитал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Пенсионный Фонд Российской Федерации</w:t>
            </w:r>
          </w:p>
        </w:tc>
      </w:tr>
      <w:tr>
        <w:trPr>
          <w:trHeight w:val="342" w:hRule="atLeast"/>
        </w:trPr>
        <w:tc>
          <w:tcPr>
            <w:tcW w:w="2364" w:type="dxa"/>
            <w:vMerge w:val="continue"/>
            <w:tcBorders/>
            <w:shd w:fill="auto" w:val="clear"/>
          </w:tcPr>
          <w:p>
            <w:pPr>
              <w:pStyle w:val="Normal"/>
              <w:ind w:right="-74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54" w:type="dxa"/>
            <w:gridSpan w:val="3"/>
            <w:tcBorders/>
            <w:shd w:fill="auto" w:val="clear"/>
          </w:tcPr>
          <w:p>
            <w:pPr>
              <w:pStyle w:val="Normal"/>
              <w:ind w:right="98" w:hanging="0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Заявителями являются граждане Российской Федерации, родившие (усыновившие) второго, третьего ребенка или последующих детей начиная с 1 января 2007 года, если ранее они эту услугу не получали. Мужчины - граждане Российской Федерации (единственные усыновители) второго, третьего ребенка или последующих детей, если ранее они не получали эту услугу, начиная с 1 января 2007 года.</w:t>
            </w:r>
          </w:p>
          <w:p>
            <w:pPr>
              <w:pStyle w:val="Normal"/>
              <w:ind w:right="98" w:hanging="0"/>
              <w:jc w:val="both"/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</w:tr>
      <w:tr>
        <w:trPr>
          <w:trHeight w:val="388" w:hRule="atLeast"/>
        </w:trPr>
        <w:tc>
          <w:tcPr>
            <w:tcW w:w="2364" w:type="dxa"/>
            <w:vMerge w:val="continue"/>
            <w:tcBorders/>
            <w:shd w:fill="auto" w:val="clear"/>
          </w:tcPr>
          <w:p>
            <w:pPr>
              <w:pStyle w:val="Normal"/>
              <w:ind w:right="-74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288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71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</w:tc>
      </w:tr>
      <w:tr>
        <w:trPr>
          <w:trHeight w:val="568" w:hRule="atLeast"/>
        </w:trPr>
        <w:tc>
          <w:tcPr>
            <w:tcW w:w="2364" w:type="dxa"/>
            <w:vMerge w:val="continue"/>
            <w:tcBorders/>
            <w:shd w:fill="auto" w:val="clear"/>
          </w:tcPr>
          <w:p>
            <w:pPr>
              <w:pStyle w:val="Normal"/>
              <w:ind w:right="-74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ind w:right="98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Максимальный срок оказания услуги</w:t>
            </w:r>
          </w:p>
          <w:p>
            <w:pPr>
              <w:pStyle w:val="Normal"/>
              <w:ind w:right="98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right="98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гос. пошлины</w:t>
            </w:r>
          </w:p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8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71" w:type="dxa"/>
            <w:tcBorders/>
            <w:shd w:fill="auto" w:val="clear"/>
          </w:tcPr>
          <w:p>
            <w:pPr>
              <w:pStyle w:val="Normal"/>
              <w:ind w:right="98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календарных дней 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cs="Arial"/>
                <w:color w:val="141824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Услуга оказывается бесплатно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2364" w:type="dxa"/>
            <w:vMerge w:val="continue"/>
            <w:tcBorders/>
            <w:shd w:fill="auto" w:val="clear"/>
          </w:tcPr>
          <w:p>
            <w:pPr>
              <w:pStyle w:val="Normal"/>
              <w:ind w:right="-74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288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71" w:type="dxa"/>
            <w:tcBorders/>
            <w:shd w:fill="auto" w:val="clear"/>
          </w:tcPr>
          <w:p>
            <w:pPr>
              <w:pStyle w:val="Normal"/>
              <w:ind w:right="98" w:hanging="0"/>
              <w:rPr>
                <w:szCs w:val="20"/>
              </w:rPr>
            </w:pPr>
            <w:r>
              <w:rPr>
                <w:sz w:val="18"/>
                <w:szCs w:val="20"/>
              </w:rPr>
              <w:t>$$$ТелМФЦ$$$</w:t>
            </w:r>
          </w:p>
        </w:tc>
      </w:tr>
    </w:tbl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98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66" w:right="98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66" w:right="98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Необходимые документы:</w:t>
      </w:r>
    </w:p>
    <w:p>
      <w:pPr>
        <w:pStyle w:val="Normal"/>
        <w:ind w:left="66" w:right="98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ListParagraph"/>
        <w:numPr>
          <w:ilvl w:val="0"/>
          <w:numId w:val="1"/>
        </w:numPr>
        <w:ind w:left="441" w:right="98" w:hanging="375"/>
        <w:jc w:val="both"/>
        <w:rPr>
          <w:sz w:val="18"/>
          <w:szCs w:val="18"/>
        </w:rPr>
      </w:pPr>
      <w:r>
        <w:rPr>
          <w:sz w:val="18"/>
          <w:szCs w:val="18"/>
        </w:rPr>
        <w:t>Документ, удостоверяющий личность, место жительства (регистрации, пребывания) или фактического проживания заявителя (паспорт гражданина Российской Федерации, или загранпаспорт гражданина Российской Федерации, служебный паспорт, справка консульства о постановке на консульский учет, справка иностранного государства о постоянном проживании). Оригинал, с оригинала снимается скан-копия.</w:t>
      </w:r>
    </w:p>
    <w:p>
      <w:pPr>
        <w:pStyle w:val="ListParagraph"/>
        <w:numPr>
          <w:ilvl w:val="0"/>
          <w:numId w:val="1"/>
        </w:numPr>
        <w:ind w:left="441" w:right="98" w:hanging="375"/>
        <w:jc w:val="both"/>
        <w:rPr>
          <w:sz w:val="18"/>
          <w:szCs w:val="18"/>
        </w:rPr>
      </w:pPr>
      <w:r>
        <w:rPr>
          <w:sz w:val="18"/>
          <w:szCs w:val="18"/>
        </w:rPr>
        <w:t>Свидетельство о рождении (усыновлении) ребенка, детей. Оригинал, с оригинала снимается скан-копия.</w:t>
      </w:r>
    </w:p>
    <w:p>
      <w:pPr>
        <w:pStyle w:val="Normal"/>
        <w:ind w:right="98" w:hanging="0"/>
        <w:rPr>
          <w:b/>
          <w:b/>
          <w:szCs w:val="20"/>
        </w:rPr>
      </w:pPr>
      <w:r>
        <w:rPr>
          <w:b/>
          <w:szCs w:val="20"/>
        </w:rPr>
      </w:r>
    </w:p>
    <w:p>
      <w:pPr>
        <w:pStyle w:val="Normal"/>
        <w:ind w:right="98" w:hanging="0"/>
        <w:jc w:val="center"/>
        <w:rPr>
          <w:szCs w:val="20"/>
        </w:rPr>
      </w:pPr>
      <w:bookmarkStart w:id="3" w:name="_Hlk528666480"/>
      <w:r>
        <w:rPr>
          <w:szCs w:val="20"/>
        </w:rPr>
        <w:t xml:space="preserve">В случае, если специалист МФЦ отказал Вам в бесплатном копировании или запросил копию данных документов при оформлении услуги, сообщите о данном факте по номеру </w:t>
      </w:r>
    </w:p>
    <w:p>
      <w:pPr>
        <w:pStyle w:val="Normal"/>
        <w:ind w:right="98" w:hanging="0"/>
        <w:jc w:val="center"/>
        <w:rPr/>
      </w:pPr>
      <w:r>
        <w:rPr>
          <w:b/>
          <w:szCs w:val="20"/>
        </w:rPr>
        <w:t>горячей линии Уполномоченного МФЦ</w:t>
      </w:r>
      <w:r>
        <w:rPr>
          <w:szCs w:val="20"/>
        </w:rPr>
        <w:t xml:space="preserve"> </w:t>
      </w:r>
      <w:bookmarkEnd w:id="3"/>
      <w:r>
        <w:rPr>
          <w:b/>
          <w:szCs w:val="20"/>
        </w:rPr>
        <w:t xml:space="preserve">  ___________________</w:t>
      </w:r>
    </w:p>
    <w:sectPr>
      <w:footerReference w:type="default" r:id="rId3"/>
      <w:type w:val="nextPage"/>
      <w:pgSz w:w="11906" w:h="16838"/>
      <w:pgMar w:left="851" w:right="567" w:header="0" w:top="568" w:footer="283" w:bottom="70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>
        <w:i/>
        <w:sz w:val="18"/>
        <w:szCs w:val="18"/>
      </w:rPr>
      <w:tab/>
    </w:r>
    <w:r>
      <w:rPr>
        <w:sz w:val="24"/>
      </w:rPr>
      <w:tab/>
    </w:r>
    <w:r>
      <w:rPr>
        <w:sz w:val="18"/>
        <w:szCs w:val="18"/>
      </w:rPr>
      <w:t xml:space="preserve">Лист/листов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fldChar w:fldCharType="begin"/>
    </w:r>
    <w:r>
      <w:rPr/>
      <w:instrText>SECTIONPAGES  \# "0"  \* MERGEFORMAT</w:instrText>
    </w:r>
    <w:r>
      <w:rPr/>
      <w:fldChar w:fldCharType="separate"/>
    </w:r>
    <w:bookmarkStart w:id="4" w:name="__Fieldmark__3057_1172307198"/>
    <w:r>
      <w:rPr/>
    </w:r>
    <w:r>
      <w:rPr/>
    </w:r>
    <w:r>
      <w:rPr/>
      <w:fldChar w:fldCharType="end"/>
    </w:r>
    <w:bookmarkEnd w:id="4"/>
    <w:r>
      <w:rPr>
        <w:sz w:val="18"/>
        <w:szCs w:val="18"/>
      </w:rPr>
      <w:t>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41" w:hanging="375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0159"/>
    <w:pPr>
      <w:widowControl w:val="false"/>
      <w:suppressAutoHyphens w:val="true"/>
      <w:bidi w:val="0"/>
      <w:jc w:val="left"/>
    </w:pPr>
    <w:rPr>
      <w:rFonts w:ascii="Arial" w:hAnsi="Arial" w:eastAsia="Lucida Sans Unicode" w:cs="Times New Roman"/>
      <w:color w:val="auto"/>
      <w:kern w:val="2"/>
      <w:sz w:val="20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a3"/>
    <w:uiPriority w:val="99"/>
    <w:semiHidden/>
    <w:qFormat/>
    <w:rsid w:val="00b7722c"/>
    <w:rPr>
      <w:rFonts w:ascii="Tahoma" w:hAnsi="Tahoma" w:cs="Tahoma"/>
      <w:sz w:val="16"/>
      <w:szCs w:val="16"/>
    </w:rPr>
  </w:style>
  <w:style w:type="character" w:styleId="SubtleReference">
    <w:name w:val="Subtle Reference"/>
    <w:uiPriority w:val="31"/>
    <w:qFormat/>
    <w:rsid w:val="00ec012e"/>
    <w:rPr>
      <w:smallCaps/>
      <w:color w:val="C0504D"/>
      <w:u w:val="single"/>
    </w:rPr>
  </w:style>
  <w:style w:type="character" w:styleId="Style15" w:customStyle="1">
    <w:name w:val="Верхний колонтитул Знак"/>
    <w:link w:val="a7"/>
    <w:uiPriority w:val="99"/>
    <w:qFormat/>
    <w:rsid w:val="00f470d9"/>
    <w:rPr>
      <w:rFonts w:ascii="Arial" w:hAnsi="Arial" w:eastAsia="Lucida Sans Unicode" w:cs="Times New Roman"/>
      <w:kern w:val="2"/>
      <w:sz w:val="20"/>
      <w:szCs w:val="24"/>
      <w:lang w:eastAsia="ru-RU"/>
    </w:rPr>
  </w:style>
  <w:style w:type="character" w:styleId="Style16" w:customStyle="1">
    <w:name w:val="Нижний колонтитул Знак"/>
    <w:link w:val="a9"/>
    <w:uiPriority w:val="99"/>
    <w:qFormat/>
    <w:rsid w:val="00f470d9"/>
    <w:rPr>
      <w:rFonts w:ascii="Arial" w:hAnsi="Arial" w:eastAsia="Lucida Sans Unicode" w:cs="Times New Roman"/>
      <w:kern w:val="2"/>
      <w:sz w:val="20"/>
      <w:szCs w:val="24"/>
      <w:lang w:eastAsia="ru-RU"/>
    </w:rPr>
  </w:style>
  <w:style w:type="character" w:styleId="Style17">
    <w:name w:val="Интернет-ссылка"/>
    <w:uiPriority w:val="99"/>
    <w:unhideWhenUsed/>
    <w:rsid w:val="00f470d9"/>
    <w:rPr>
      <w:color w:val="0000FF"/>
      <w:u w:val="single"/>
    </w:rPr>
  </w:style>
  <w:style w:type="character" w:styleId="Style18" w:customStyle="1">
    <w:name w:val="Текст сноски Знак"/>
    <w:link w:val="ac"/>
    <w:uiPriority w:val="99"/>
    <w:semiHidden/>
    <w:qFormat/>
    <w:rsid w:val="00f470d9"/>
    <w:rPr>
      <w:rFonts w:ascii="Arial" w:hAnsi="Arial" w:eastAsia="Lucida Sans Unicode" w:cs="Times New Roman"/>
      <w:kern w:val="2"/>
      <w:sz w:val="20"/>
      <w:szCs w:val="20"/>
      <w:lang w:eastAsia="ru-RU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f470d9"/>
    <w:rPr>
      <w:vertAlign w:val="superscript"/>
    </w:rPr>
  </w:style>
  <w:style w:type="character" w:styleId="Blk" w:customStyle="1">
    <w:name w:val="blk"/>
    <w:qFormat/>
    <w:rsid w:val="00734729"/>
    <w:rPr/>
  </w:style>
  <w:style w:type="character" w:styleId="Ep" w:customStyle="1">
    <w:name w:val="ep"/>
    <w:qFormat/>
    <w:rsid w:val="00734729"/>
    <w:rPr/>
  </w:style>
  <w:style w:type="character" w:styleId="ListLabel1">
    <w:name w:val="ListLabel 1"/>
    <w:qFormat/>
    <w:rPr>
      <w:i/>
      <w:sz w:val="18"/>
      <w:szCs w:val="18"/>
      <w:lang w:val="en-US"/>
    </w:rPr>
  </w:style>
  <w:style w:type="character" w:styleId="ListLabel2">
    <w:name w:val="ListLabel 2"/>
    <w:qFormat/>
    <w:rPr>
      <w:i/>
      <w:sz w:val="18"/>
      <w:szCs w:val="18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7722c"/>
    <w:pPr>
      <w:widowControl/>
      <w:suppressAutoHyphens w:val="false"/>
    </w:pPr>
    <w:rPr>
      <w:rFonts w:ascii="Tahoma" w:hAnsi="Tahoma" w:eastAsia="Calibri" w:cs="Tahoma"/>
      <w:kern w:val="0"/>
      <w:sz w:val="16"/>
      <w:szCs w:val="16"/>
      <w:lang w:eastAsia="en-US"/>
    </w:rPr>
  </w:style>
  <w:style w:type="paragraph" w:styleId="Style25">
    <w:name w:val="Header"/>
    <w:basedOn w:val="Normal"/>
    <w:link w:val="a8"/>
    <w:uiPriority w:val="99"/>
    <w:unhideWhenUsed/>
    <w:rsid w:val="00f470d9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unhideWhenUsed/>
    <w:rsid w:val="00f470d9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note Text"/>
    <w:basedOn w:val="Normal"/>
    <w:link w:val="ad"/>
    <w:uiPriority w:val="99"/>
    <w:semiHidden/>
    <w:unhideWhenUsed/>
    <w:rsid w:val="00f470d9"/>
    <w:pPr/>
    <w:rPr>
      <w:szCs w:val="20"/>
    </w:rPr>
  </w:style>
  <w:style w:type="paragraph" w:styleId="S1" w:customStyle="1">
    <w:name w:val="s_1"/>
    <w:basedOn w:val="Normal"/>
    <w:qFormat/>
    <w:rsid w:val="00d82f74"/>
    <w:pPr>
      <w:widowControl/>
      <w:suppressAutoHyphens w:val="false"/>
      <w:spacing w:beforeAutospacing="1" w:afterAutospacing="1"/>
    </w:pPr>
    <w:rPr>
      <w:rFonts w:ascii="Times New Roman" w:hAnsi="Times New Roman" w:eastAsia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d82f7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36a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ED37-D6D4-4ABE-B7BD-E03F9C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LibreOffice/6.0.7.3$Linux_X86_64 LibreOffice_project/00m0$Build-3</Application>
  <Pages>1</Pages>
  <Words>186</Words>
  <Characters>1373</Characters>
  <CharactersWithSpaces>1568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2019-11-18T08:26:00Z</dcterms:created>
  <dc:creator>Владелец</dc:creator>
  <dc:description/>
  <dc:language>ru-RU</dc:language>
  <cp:lastModifiedBy/>
  <cp:lastPrinted>2019-11-18T08:23:00Z</cp:lastPrinted>
  <dcterms:modified xsi:type="dcterms:W3CDTF">2023-01-12T16:32:45Z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